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POCUS REGIONAL MANAGER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MM20400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