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INTERSECTIONAL MEDICAL MANAGER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MD21400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13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Country Representative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Interdesk Platform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The Intersection Medical Manager (IMM) is responsible for providing and coordinating medical support across Médecins Sans Frontières (MSF) sections in MSF Country Programme . The role focuses on medical data management and analysis, external engagement/representation with senior medical stakeholders, coordination of the medical coordinators’ platform, and providing critical support during medical evacuations. 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Paragraph"/>
            </w:pPr>
            <w:r>
              <w:rPr>
                <w:b/>
              </w:rPr>
              <w:t xml:space="preserve">1. Medical Data Management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Collaborates with the Mission Medical Coordinators and Humanitarian Affairs Coordinators, ensuring that the intersectional medical indicators and supporting digital platforms are fit for purpose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Maintain and oversee a robust system for medical data collection, analysis, and reporting across all MSF sections in the Country Programme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Ensure consistency, accuracy, and timeliness of meta medical data analysis that supports OCs decision-makingand contributes to and informs intersectional advocacy positioning and communication initiatives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Provide orientation and support to medical and humanitarian affairs teams on data management tools and processes.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Facilitate the sharing of key medical data insights across sections to support alignment and coordination.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Collaborates with the Mission/Intersectional Humanitarian Affairs Coordinator, ensuring that the intersectional advocacy is rooted in medical analysis and reflects MSF’s medical priorities across all sections in the country programme </w:t>
            </w:r>
          </w:p>
          <w:p>
            <w:pPr>
              <w:pStyle w:val="Paragraph"/>
            </w:pPr>
            <w:r>
              <w:rPr>
                <w:b/>
              </w:rPr>
              <w:t xml:space="preserve">2. External Engagement with Key Stakeholders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Represent MSF in external medical forums, meetings, and partnerships with government agencies, UN, NGOs, and other relevant stakeholders.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Build and maintain strong relationships with the Ministry of Health, and other key actors to ensure alignment with local health policies and practices.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Advocate for MSF’s medical priorities and ensure the organization’s voice is heard in relevant external platforms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Facilitate and establish academic research partnerships with local organizations, support with research ERBs submission </w:t>
            </w:r>
          </w:p>
          <w:p>
            <w:pPr>
              <w:pStyle w:val="Paragraph"/>
            </w:pPr>
            <w:r>
              <w:rPr>
                <w:b/>
              </w:rPr>
              <w:t xml:space="preserve">3. Coordination of the Medical Coordinators’ Platform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Facilitate agenda setting and follow-up of action points of regular meetings of the medical coordinators’ platform to ensure cross-sectional collaboration and alignment.,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Act as the focal point for sharing updates, challenges, and best practices across MSF sections.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Support the development of a unified medical strategy and priorities for MSF country program.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Attends inter-desk meetings and provide sitreps/reports etc. periodically </w:t>
            </w:r>
          </w:p>
          <w:p>
            <w:pPr>
              <w:pStyle w:val="Paragraph"/>
            </w:pPr>
            <w:r>
              <w:rPr>
                <w:b/>
              </w:rPr>
              <w:t xml:space="preserve">4. Support for Medical Evacuations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Provide technical and logistical support for medical evacuations, ensuring the safety and well-being of staff and patients.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Collaborate with relevant teams to develop contingency plans and protocols for emergency situations. </w:t>
            </w:r>
          </w:p>
          <w:p>
            <w:pPr>
              <w:pStyle w:val="Paragraph"/>
            </w:pPr>
            <w:r>
              <w:rPr>
                <w:b/>
              </w:rPr>
              <w:t xml:space="preserve">5. Capacity Building and Technical Support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Provide guidance and mentorship to medical teams across sections to strengthen their capacity. 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Identify training needs and support the design and implementation of training programs for medical staff. 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Ensure adherence to MSF medical protocols and international standards of care.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Éducation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Advanced degree in Medicine (MD), Para Medical Degree.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Expérience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Essential: 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Minimum 3-5 years of experience in medical program management, preferably in humanitarian settings.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Experience working with MSF or similar organizations is highly desirable.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Demonstrated experience in external engagement and advocacy with health stakeholders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Experience of data management, with significant demonstratable competencies in data analysis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Specialized training in medical data management, health systems strengthening is an advantage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Essential: English language, advanced written and spoken </w:t>
            </w:r>
          </w:p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Desirable : Mission language(s)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Connaissance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Essential: computer literacy (word, excel, Power point, outlook, and statistical software)  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Compétences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Continuous Learning:  Stay informed on DEI best practices, participate in training, and apply new insights to daily work.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People Management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Commitment to MSF principles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Results and Quality Orientation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Teamwork and Cooperation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Leadership: Ability to lead and inspire cross-functional teams in a multicultural environment.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Communication: Strong interpersonal and communication skills, with the ability to engage effectively with diverse stakeholders.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Problem-Solving: Proactive and solution-oriented approach to challenges.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Collaboration: Strong team player with the ability to work across sections and disciplines.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Adaptability: Flexibility to adapt to changing priorities and emergency situations 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2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3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