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ANALYSTE RÉMUNÉRATIONS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compensation et bénéfices – MSF Norvège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compensation et bénéfices – MSF Norvège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une analyse comparative des rémunérations sur un marché de référence tel que défini par la mis-sion et produire un rapport, ceci conformément aux protocoles, normes et procédures en matière de ben-chmark de MSF et de manière à donner à la mission un vue d’ensemble des pratiques locales en matière de rémunérations.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Présenter la méthode de l’étude à toutes les équipes de coordination et lorsque cela vous est demandé, à l’équipe nationale, ceci en garantissant la confidentialité et l’impartialité à tout moment. Communiquer avec différents acteurs à différents niveaux (comparateurs, mission, siège, staff national, etc.)</w:t>
            </w:r>
          </w:p>
          <w:p>
            <w:pPr>
              <w:pStyle w:val="ListBullet"/>
              <w:numPr>
                <w:ilvl w:val="0"/>
                <w:numId w:val="1001"/>
              </w:numPr>
            </w:pPr>
            <w:r>
              <w:t xml:space="preserve"> En collaboration avec la mission (HRCo et /ou les équipes de coordination du projet) et le gestionnaire comparaison et benchmark, sélectionner les fonctions concernées par le benchmark ainsi que les comparateurs potentiels pour chaque lieu d’étude.</w:t>
            </w:r>
          </w:p>
          <w:p>
            <w:pPr>
              <w:pStyle w:val="ListBullet"/>
              <w:numPr>
                <w:ilvl w:val="0"/>
                <w:numId w:val="1001"/>
              </w:numPr>
            </w:pPr>
            <w:r>
              <w:t xml:space="preserve"> Collecter l’information nécessaire auprès de la mission (organigramme, grille des fonctions, échelle des salaires, rémunérations des personnels locaux, avantages sociaux, etc.) de manière à avoir une bonne compréhension de la mission et du contexte.</w:t>
            </w:r>
          </w:p>
          <w:p>
            <w:pPr>
              <w:pStyle w:val="ListBullet"/>
              <w:numPr>
                <w:ilvl w:val="0"/>
                <w:numId w:val="1001"/>
              </w:numPr>
            </w:pPr>
            <w:r>
              <w:t xml:space="preserve"> Si nécessaire, interroger les superviseurs/employés et les personnes compétentes afin de parvenir à mieux com-prendre les enjeux concernant les salaires, les fonctions et le marché de l’emploi de référence.</w:t>
            </w:r>
          </w:p>
          <w:p>
            <w:pPr>
              <w:pStyle w:val="ListBullet"/>
              <w:numPr>
                <w:ilvl w:val="0"/>
                <w:numId w:val="1001"/>
              </w:numPr>
            </w:pPr>
            <w:r>
              <w:t xml:space="preserve"> Envoyer des demandes de renseignements, organiser des réunions et mener des entretiens avec les comparateurs de manière à collecter les données nécessaires à l’étude (organigrammes, grilles des fonctions, échelles de salaires, etc.) en veillant à prendre en compte de manière cohérente et judicieuse les données quantitatives aussi bien que qualitatives, à interviewer un nombre suffisant de comparateurs et à collecter les données avant de quitter le terrain.</w:t>
            </w:r>
          </w:p>
          <w:p>
            <w:pPr>
              <w:pStyle w:val="ListBullet"/>
              <w:numPr>
                <w:ilvl w:val="0"/>
                <w:numId w:val="1001"/>
              </w:numPr>
            </w:pPr>
            <w:r>
              <w:t xml:space="preserve"> Mener une recherche parallèle sur le marché du travail local et auprès des organisations/employeurs similaires et recueillir toute information pertinente notamment les statistiques de travail officielles, les lois et règlements concernant l’emploi, le taux d’indexation du coût de la vie et sa périodicité, etc.).</w:t>
            </w:r>
          </w:p>
          <w:p>
            <w:pPr>
              <w:pStyle w:val="ListBullet"/>
              <w:numPr>
                <w:ilvl w:val="0"/>
                <w:numId w:val="1001"/>
              </w:numPr>
            </w:pPr>
            <w:r>
              <w:t xml:space="preserve"> Tenir le gestionnaire comparaison et benchmark régulièrement informé de l’avance de vos travaux (situation avec les comparateurs, base de données, rapport etc.) et faire remonter tout problème/difficulté éventuels.</w:t>
            </w:r>
          </w:p>
          <w:p>
            <w:pPr>
              <w:pStyle w:val="ListBullet"/>
              <w:numPr>
                <w:ilvl w:val="0"/>
                <w:numId w:val="1001"/>
              </w:numPr>
            </w:pPr>
            <w:r>
              <w:t xml:space="preserve"> Avec l’aide directe du gestionnaire comparaison et benchmark analyser les données obtenues et rédiger un rapport final au siège ainsi qu’un rapport des comparateurs, conformément à la boîte à outils benchmark modèle  de MSF en veillant à ce que vos résultats soient correctement documentés pour servir de référence future.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Licence en économie/finance ou études similaires au minimum</w:t>
            </w:r>
          </w:p>
          <w:p>
            <w:pPr>
              <w:pStyle w:val="ListBullet"/>
              <w:numPr>
                <w:ilvl w:val="0"/>
                <w:numId w:val="1002"/>
              </w:numPr>
            </w:pPr>
            <w:r>
              <w:t xml:space="preserve">Formation professionnelle supérieure en gestion d’entreprise/MBA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Expérience professionnelle d’au moins deux ans indispensable, dans un poste similaire ou comparable</w:t>
            </w:r>
          </w:p>
          <w:p>
            <w:pPr>
              <w:pStyle w:val="ListBullet"/>
              <w:numPr>
                <w:ilvl w:val="0"/>
                <w:numId w:val="1003"/>
              </w:numPr>
            </w:pPr>
            <w:r>
              <w:t xml:space="preserve">Expérience professionnelle souhaitée dans des pays en voie de développement avec MSF ou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Anglais indispensable. Français, espagnol, arabe souhaité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Connaissance approfondie des logiciels MS Excel et Word</w:t>
            </w:r>
          </w:p>
          <w:p>
            <w:pPr>
              <w:pStyle w:val="ListBullet"/>
              <w:numPr>
                <w:ilvl w:val="0"/>
                <w:numId w:val="1005"/>
              </w:numPr>
            </w:pPr>
            <w:r>
              <w:t xml:space="preserve">Bonnes capacités d’analyse, à l’aise avec les chiffres et les données économiques</w:t>
            </w:r>
          </w:p>
          <w:p>
            <w:pPr>
              <w:pStyle w:val="ListBullet"/>
              <w:numPr>
                <w:ilvl w:val="0"/>
                <w:numId w:val="1005"/>
              </w:numPr>
            </w:pPr>
            <w:r>
              <w:t xml:space="preserve">Excellentes compétences en communication et rédaction; diplomate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 Gestion et perfectionnement du personnel </w:t>
            </w:r>
            <w:r>
              <w:rPr>
                <w:b/>
              </w:rPr>
              <w:t xml:space="preserve">L2</w:t>
            </w:r>
          </w:p>
          <w:p>
            <w:pPr>
              <w:pStyle w:val="ListBullet"/>
              <w:numPr>
                <w:ilvl w:val="0"/>
                <w:numId w:val="1006"/>
              </w:numPr>
            </w:pPr>
            <w:r>
              <w:t xml:space="preserve"> Adhésion aux principes MSF </w:t>
            </w:r>
            <w:r>
              <w:rPr>
                <w:b/>
              </w:rPr>
              <w:t xml:space="preserve">L2</w:t>
            </w:r>
          </w:p>
          <w:p>
            <w:pPr>
              <w:pStyle w:val="ListBullet"/>
              <w:numPr>
                <w:ilvl w:val="0"/>
                <w:numId w:val="1006"/>
              </w:numPr>
            </w:pPr>
            <w:r>
              <w:t xml:space="preserve"> Souplesse de comportement </w:t>
            </w:r>
            <w:r>
              <w:rPr>
                <w:b/>
              </w:rPr>
              <w:t xml:space="preserve">L3</w:t>
            </w:r>
          </w:p>
          <w:p>
            <w:pPr>
              <w:pStyle w:val="ListBullet"/>
              <w:numPr>
                <w:ilvl w:val="0"/>
                <w:numId w:val="1006"/>
              </w:numPr>
            </w:pPr>
            <w:r>
              <w:t xml:space="preserve"> Orientation résultats et qualité </w:t>
            </w:r>
            <w:r>
              <w:rPr>
                <w:b/>
              </w:rPr>
              <w:t xml:space="preserve">L3</w:t>
            </w:r>
          </w:p>
          <w:p>
            <w:pPr>
              <w:pStyle w:val="ListBullet"/>
              <w:numPr>
                <w:ilvl w:val="0"/>
                <w:numId w:val="1006"/>
              </w:numPr>
            </w:pPr>
            <w:r>
              <w:t xml:space="preserve"> 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