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HEAD OF GIS DATA COLLECTORS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LT07200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GIS MISSION REFERENT / LOGISTICS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GIS MISSION REFERENT / GIS SPECIALIST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Supervising the daily field related GIS activities and providing maintenance to the MSF GIS equipment, according to MSF protocols and standards in support to operations.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Monitoring GIS activities at field level according to MSF GIS Centre standards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Ensuring the check and follow-up of GIS material (GPS devices/smartphones) under the line manager's supervision through regular check and reporting any anomalies or problems.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Planning together with the line manager and sectorial responsible the GIS field activities such as 
o   GPS data collection 
o   Mobile phones data collection (MDC)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Coordinating and leading the data collection team under his/her responsibility which includes daily supervision, monitoring of the quality of work and the definition of each person's task, drawing up their working schedules; organizing and leading team meetings; participating in the recruitment of team personnel and attending departments meetings and accounting for his/her activities.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Providing proper training to data collection team members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Monitoring the quality of the data produced under his responsibility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Performing basic data management tasks such as data export and cleaning prior to GIS integration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 essential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Strong experience as a data collector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Experience with MSF or other INGOs is desirable.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and mission language essential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Computer Literacy essential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GIS software knowledge desirable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Mobile Apps for data collection desirable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Results and Quality Orientation 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Teamwork and Cooperation 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Behavioural Flexibility 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Commitment to MSF Principles 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Stress Management 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