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EDUCADOR DE SALUD COMUNITARIA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de actividad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Elaborar, proporcionar y presentar a la población/pacientes, sesiones de educación sanitaria, de acuerdo a los principios y valores de </w:t>
            </w:r>
            <w:r>
              <w:rPr>
                <w:b/>
              </w:rPr>
              <w:t xml:space="preserve">MSF</w:t>
            </w:r>
            <w:r>
              <w:t xml:space="preserve"> , a fin de promover información médica mediante medidas de salud y condiciones de higiene, como así también, proporcionar información acerca de las actividades de MSF para facilitar el acceso a la asistencia médica.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Elaborar material y proporcionar sesiones de educación sanitaria, mensajes y temas dirigidos a diferentes poblaciones, en base a higiene, enfermedades y prevención.</w:t>
            </w:r>
          </w:p>
          <w:p>
            <w:pPr>
              <w:pStyle w:val="ListBullet"/>
              <w:numPr>
                <w:ilvl w:val="0"/>
                <w:numId w:val="1001"/>
              </w:numPr>
            </w:pPr>
            <w:r>
              <w:t xml:space="preserve">Asegurarse de que todos los pacientes y cuidadores están bien informados sobre temas referente a la salud y a los servicios provistos, de acuerdo a los protocolos.</w:t>
            </w:r>
          </w:p>
          <w:p>
            <w:pPr>
              <w:pStyle w:val="ListBullet"/>
              <w:numPr>
                <w:ilvl w:val="0"/>
                <w:numId w:val="1001"/>
              </w:numPr>
            </w:pPr>
            <w:r>
              <w:t xml:space="preserve">Supervisar la situación de la salud y las condiciones de vida de la población, mediante un examen nutricional, la recopilación de información relacionada con la seguridad alimentaria, revisión del estado de vacunación de los niños, búsqueda activa de aquellos que no hayan completado los programas que requieren este tipo de investigación; recopilación de información del número de personas que llegan o dejan la comunidad, de nacimientos y muertes en la comunidad, etc.</w:t>
            </w:r>
          </w:p>
          <w:p>
            <w:pPr>
              <w:pStyle w:val="ListBullet"/>
              <w:numPr>
                <w:ilvl w:val="0"/>
                <w:numId w:val="1001"/>
              </w:numPr>
            </w:pPr>
            <w:r>
              <w:t xml:space="preserve">Identificar a las personas que tengan problemas de salud, contactar al equipo médico e informar de inmediato si es necesario el traslado. La persona a cargo debe informar a su superior inmediato de cualquier problema que detecte.
</w:t>
            </w:r>
          </w:p>
          <w:p>
            <w:pPr>
              <w:pStyle w:val="ListBullet"/>
              <w:numPr>
                <w:ilvl w:val="1"/>
                <w:numId w:val="1001"/>
              </w:numPr>
            </w:pPr>
            <w:r>
              <w:t xml:space="preserve">Informar al superior inmediato de todos los resultados de las revisiones y de las visitas que se hayan hecho con regularidad.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Alfabetización. Será necesario una formación interna de MSF en base a los mensajes de salud.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No se requiere ninguna.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 aconsejable el idioma de la misión y es imprescindible 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Resultados, trabajo de equipo, flexibilidad, compromiso, servicio</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