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Title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DEPUTY PROJECT MEDICAL REFERENT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Generic Function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MM11400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Level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11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E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in the Organization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(Hierarchical)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Project Medical Referent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(Functional)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Project Medical Referent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Job Family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Medical and Paramedical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Supervises (Function)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Main Purpose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Supporting the Project Medical Referent through delegated tasks and responsibilities including defining, planning, and monitoring of medical activities and in the coordination of resources required to en-sure quality of care provided by MSF. 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Accountabilities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Support the PMR in the overall functioning of the medical programs in the project through delegated tasks and fully assuming the PMR
responsibilities and accountabilities in case of absence.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Monitor and evaluate medical programs and regularly suggest improvements if needed.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Visit the project sites regularly in consultation with PMR to support health teams and to ensure compliance with MSF protocols and guidelines.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Participate in exploratory missions and situation assessments to identify healthcare needs when required.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Assist the PMR in the annual planning process, budget review, project proposal and reports to donors.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Responsible for ensuring that the HR requirements (recruitment, training, evaluation, leave management, etc.) are met for the medical team in the project.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Representation of MSF with MoH and other health partners as delegated by the PMR/MTL.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Assist in the collection, analysis and reporting of health data in the projects.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Assist PMR in pharmacy management and in the international medical order management.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Substitute doctors, nurses and paramedical staff if necessary.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Assist the PMR in the correct implementation of staff health policies at project level.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Perform any other relevant tasks assigned by his/her supervisors as necessary.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MSF Section/Context Specific Accountabilities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Requirements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Education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Medical doctor or nursing or paramedical degree. Desirable specialization or training in Tropical Medicine or related studies. 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Experience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Minimum 2 years of work experience related to the degree/diploma.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Diverse and strong health knowledge including at least 1 year working in humanitarian settings with MSF (or another humanitarian organization) in the field.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This job description may be amended in line with the activities or evolution of the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By signing, the employee acknowledges that he/she has read, understood and accepted this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Employee Name/ Surname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Place and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of the employee: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(To be signed in two copies, one for the employee and one for the employer)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8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 w:numId="19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