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DE STÉRILISATION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 Superviseur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 Bloc Opératoir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fonction des protocoles appliqués dans les services de consultation ou d’hospitalisation d’une structure médicale, effectuer la stérilisation des équipements, des instruments et des surfaces, conformément aux protocoles et aux procédures MSF et aux normes universelles d’hygiène, ceci afin d’assurer la qualité et l’efficacité des soins et la sécurité de l’environnement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Connaître et appliquer strictement l’ensemble des protocoles et règles de sécurité spécifiques en matière de stérilisation et d’hygiène. En cas de doute, agir de manière proactive en demandant au/à la superviseur/e fonc-tionnel/le les avis et clarifications nécessaires concernant les protocoles et procédures spécifiques à suivre dans chaque cas</w:t>
            </w:r>
          </w:p>
          <w:p>
            <w:pPr>
              <w:pStyle w:val="ListBullet"/>
              <w:numPr>
                <w:ilvl w:val="0"/>
                <w:numId w:val="1001"/>
              </w:numPr>
            </w:pPr>
          </w:p>
          <w:p>
            <w:pPr>
              <w:pStyle w:val="Paragraph"/>
            </w:pPr>
            <w:r>
              <w:t xml:space="preserve">Maintenir la zone de travail affectée à son poste, propre, désinfectée et sûre : appliquer les protocoles prévus et utiliser les outils et équipements mis à disposition. Le travail inclut le nettoyage de tous les instruments avec le liquide de stérilisation et leur passage en stérilisateur, ceci dans les délais impartis</w:t>
            </w:r>
          </w:p>
          <w:p>
            <w:pPr>
              <w:pStyle w:val="ListBullet"/>
              <w:numPr>
                <w:ilvl w:val="0"/>
                <w:numId w:val="1001"/>
              </w:numPr>
            </w:pPr>
          </w:p>
          <w:p>
            <w:pPr>
              <w:pStyle w:val="Paragraph"/>
            </w:pPr>
            <w:r>
              <w:t xml:space="preserve">Veiller à la propreté et à l’organisation de la zone/pièce de stérilisation et des instruments ; être capable de re-connaître les instruments en se reportant au schéma fourni, les organiser pour le conditionnement, les emballer par kits selon les instructions du superviseur et étiqueter correctement chaque kit en indiquant très clairement sa date de péremption</w:t>
            </w:r>
          </w:p>
          <w:p>
            <w:pPr>
              <w:pStyle w:val="ListBullet"/>
              <w:numPr>
                <w:ilvl w:val="0"/>
                <w:numId w:val="1001"/>
              </w:numPr>
            </w:pPr>
          </w:p>
          <w:p>
            <w:pPr>
              <w:pStyle w:val="Paragraph"/>
            </w:pPr>
            <w:r>
              <w:t xml:space="preserve">Assurer la livraisons aux différents services et départements</w:t>
            </w:r>
          </w:p>
          <w:p>
            <w:pPr>
              <w:pStyle w:val="ListBullet"/>
              <w:numPr>
                <w:ilvl w:val="0"/>
                <w:numId w:val="1001"/>
              </w:numPr>
            </w:pPr>
          </w:p>
          <w:p>
            <w:pPr>
              <w:pStyle w:val="Paragraph"/>
            </w:pPr>
            <w:r>
              <w:t xml:space="preserve">Ramasser et évacuer les déchets produits et déjà triés par les unités médicales et les évacuer vers les sites désignés ; vider les poubelles aussi souvent que nécessaire afin de contribuer au bon déroulement et à l’efficacité des soins et à la sécurité de l’environnement</w:t>
            </w:r>
          </w:p>
          <w:p>
            <w:pPr>
              <w:pStyle w:val="ListBullet"/>
              <w:numPr>
                <w:ilvl w:val="0"/>
                <w:numId w:val="1001"/>
              </w:numPr>
            </w:pPr>
          </w:p>
          <w:p>
            <w:pPr>
              <w:pStyle w:val="Paragraph"/>
            </w:pPr>
            <w:r>
              <w:t xml:space="preserve">Faire remonter tout problème de réparation ou d’entretien concernant la stérilisation au /à la Superviseur/e ainsi que toute information pertinente relative à ses responsabilités</w:t>
            </w:r>
          </w:p>
          <w:p>
            <w:pPr>
              <w:pStyle w:val="ListBullet"/>
              <w:numPr>
                <w:ilvl w:val="0"/>
                <w:numId w:val="1001"/>
              </w:numPr>
            </w:pPr>
          </w:p>
          <w:p>
            <w:pPr>
              <w:pStyle w:val="Paragraph"/>
            </w:pPr>
            <w:r>
              <w:t xml:space="preserve">Être garant de la disponibilité constante des instruments et matériels stérilisés et préparer les commandes pour les besoins courants </w:t>
            </w:r>
          </w:p>
          <w:p>
            <w:pPr>
              <w:pStyle w:val="ListBullet"/>
              <w:numPr>
                <w:ilvl w:val="0"/>
                <w:numId w:val="1001"/>
              </w:numPr>
            </w:pPr>
          </w:p>
          <w:p>
            <w:pPr>
              <w:pStyle w:val="Paragraph"/>
            </w:pPr>
            <w:r>
              <w:t xml:space="preserve">Effectue les maintenances mineures et le nettoyage des équipements médicaux selon les instructions du manuel d’utilisation et les protocoles. Informe le superviseur médical en cas de disfonctionnement d’un dispositif médical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Connaissances de base (lecture, écriture). Formation interne MSF en unité chirurgicale souhaitées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Previous experience in relevant positions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