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LEGAL ADVISOR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technical legal expertise in support of the mission. Identifying the legal constraints and obligations applicable to MSF, assessing the risks and providing recommendations in order to support MSF activities in the country.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In cooperation with and under the technical supervision of the ILD referent, being in charge of (non-exhaustive):</w:t>
            </w:r>
          </w:p>
          <w:p>
            <w:pPr>
              <w:pStyle w:val="ListBullet"/>
              <w:numPr>
                <w:ilvl w:val="0"/>
                <w:numId w:val="1001"/>
              </w:numPr>
            </w:pPr>
            <w:r>
              <w:t xml:space="preserve">Centralising Legal Issues and Providing Legal Advice</w:t>
            </w:r>
          </w:p>
          <w:p>
            <w:pPr>
              <w:pStyle w:val="ListBullet"/>
              <w:numPr>
                <w:ilvl w:val="0"/>
                <w:numId w:val="1001"/>
              </w:numPr>
            </w:pPr>
            <w:r>
              <w:t xml:space="preserve">Providing reasoned legal opinions –  and practical solutions, adapted to MSF specificities, particularly in the areas of social law, contract law, fiscal law and administrative law applicable to NGOs.</w:t>
            </w:r>
          </w:p>
          <w:p>
            <w:pPr>
              <w:pStyle w:val="ListBullet"/>
              <w:numPr>
                <w:ilvl w:val="0"/>
                <w:numId w:val="1001"/>
              </w:numPr>
            </w:pPr>
          </w:p>
          <w:p>
            <w:pPr>
              <w:pStyle w:val="Paragraph"/>
            </w:pPr>
            <w:r>
              <w:t xml:space="preserve">Referring request related to legal areas not covered by the Intersectional Legal Advisor to the relevant ILD advisor.</w:t>
            </w:r>
          </w:p>
          <w:p>
            <w:pPr>
              <w:pStyle w:val="ListBullet"/>
              <w:numPr>
                <w:ilvl w:val="0"/>
                <w:numId w:val="1001"/>
              </w:numPr>
            </w:pPr>
          </w:p>
          <w:p>
            <w:pPr>
              <w:pStyle w:val="Paragraph"/>
            </w:pPr>
            <w:r>
              <w:t xml:space="preserve">Drafting/ Revising Mission’s HR Documents, Contracts and Correspondence</w:t>
            </w:r>
          </w:p>
          <w:p>
            <w:pPr>
              <w:pStyle w:val="ListBullet"/>
              <w:numPr>
                <w:ilvl w:val="0"/>
                <w:numId w:val="1001"/>
              </w:numPr>
            </w:pPr>
          </w:p>
          <w:p>
            <w:pPr>
              <w:pStyle w:val="Paragraph"/>
            </w:pPr>
            <w:r>
              <w:t xml:space="preserve">Promoting and when necessary adapting the templates developed by the ILD according to the applicable local requirements. </w:t>
            </w:r>
          </w:p>
          <w:p>
            <w:pPr>
              <w:pStyle w:val="ListBullet"/>
              <w:numPr>
                <w:ilvl w:val="0"/>
                <w:numId w:val="1001"/>
              </w:numPr>
            </w:pPr>
          </w:p>
          <w:p>
            <w:pPr>
              <w:pStyle w:val="Paragraph"/>
            </w:pPr>
            <w:r>
              <w:t xml:space="preserve">Ensuring the Follow-Up of Litigation Files</w:t>
            </w:r>
          </w:p>
          <w:p>
            <w:pPr>
              <w:pStyle w:val="ListBullet"/>
              <w:numPr>
                <w:ilvl w:val="0"/>
                <w:numId w:val="1001"/>
              </w:numPr>
            </w:pPr>
          </w:p>
          <w:p>
            <w:pPr>
              <w:pStyle w:val="Paragraph"/>
            </w:pPr>
            <w:r>
              <w:t xml:space="preserve">Ensuring that the proposed strategy is in the best interest of MSF,  assesses the risks and proposes alternatives solutions; </w:t>
            </w:r>
          </w:p>
          <w:p>
            <w:pPr>
              <w:pStyle w:val="ListBullet"/>
              <w:numPr>
                <w:ilvl w:val="0"/>
                <w:numId w:val="1001"/>
              </w:numPr>
            </w:pPr>
          </w:p>
          <w:p>
            <w:pPr>
              <w:pStyle w:val="Paragraph"/>
            </w:pPr>
            <w:r>
              <w:t xml:space="preserve">Reporting to his/her superiors and to the HR or Finance teams on the progress of the cases; </w:t>
            </w:r>
          </w:p>
          <w:p>
            <w:pPr>
              <w:pStyle w:val="ListBullet"/>
              <w:numPr>
                <w:ilvl w:val="0"/>
                <w:numId w:val="1001"/>
              </w:numPr>
            </w:pPr>
          </w:p>
          <w:p>
            <w:pPr>
              <w:pStyle w:val="Paragraph"/>
            </w:pPr>
            <w:r>
              <w:t xml:space="preserve">Managing Individual Risk (ILD Unit 3)</w:t>
            </w:r>
          </w:p>
          <w:p>
            <w:pPr>
              <w:pStyle w:val="ListBullet"/>
              <w:numPr>
                <w:ilvl w:val="0"/>
                <w:numId w:val="1001"/>
              </w:numPr>
            </w:pPr>
          </w:p>
          <w:p>
            <w:pPr>
              <w:pStyle w:val="Paragraph"/>
            </w:pPr>
            <w:r>
              <w:t xml:space="preserve">Providing  legal support to HR teams and providing updates to the coordination teams;</w:t>
            </w:r>
          </w:p>
          <w:p>
            <w:pPr>
              <w:pStyle w:val="ListBullet"/>
              <w:numPr>
                <w:ilvl w:val="0"/>
                <w:numId w:val="1001"/>
              </w:numPr>
            </w:pPr>
          </w:p>
          <w:p>
            <w:pPr>
              <w:pStyle w:val="Paragraph"/>
            </w:pPr>
            <w:r>
              <w:t xml:space="preserve">Coordinating the liaison among sections or directly liaises with relevant authorities like Labour Office/Ministry of Labour, MOH partner and Medical Order;</w:t>
            </w:r>
          </w:p>
          <w:p>
            <w:pPr>
              <w:pStyle w:val="ListBullet"/>
              <w:numPr>
                <w:ilvl w:val="0"/>
                <w:numId w:val="1001"/>
              </w:numPr>
            </w:pPr>
          </w:p>
          <w:p>
            <w:pPr>
              <w:pStyle w:val="Paragraph"/>
            </w:pPr>
            <w:r>
              <w:t xml:space="preserve">Managing Legal and Administrative Framework Related Risks (ILD Unit 4)</w:t>
            </w:r>
          </w:p>
          <w:p>
            <w:pPr>
              <w:pStyle w:val="ListBullet"/>
              <w:numPr>
                <w:ilvl w:val="0"/>
                <w:numId w:val="1001"/>
              </w:numPr>
            </w:pPr>
          </w:p>
          <w:p>
            <w:pPr>
              <w:pStyle w:val="Paragraph"/>
            </w:pPr>
            <w:r>
              <w:t xml:space="preserve">appropriate support to follow-up registration/operational licenses of all MSF sections and providing legal advice on framework and project MOU;</w:t>
            </w:r>
          </w:p>
          <w:p>
            <w:pPr>
              <w:pStyle w:val="ListBullet"/>
              <w:numPr>
                <w:ilvl w:val="0"/>
                <w:numId w:val="1001"/>
              </w:numPr>
            </w:pPr>
          </w:p>
          <w:p>
            <w:pPr>
              <w:pStyle w:val="Paragraph"/>
            </w:pPr>
            <w:r>
              <w:t xml:space="preserve">Providing legal support to ensure the facilitation of administrative procedures, ensuring consistency between sections present in the country;</w:t>
            </w:r>
          </w:p>
          <w:p>
            <w:pPr>
              <w:pStyle w:val="ListBullet"/>
              <w:numPr>
                <w:ilvl w:val="0"/>
                <w:numId w:val="1001"/>
              </w:numPr>
            </w:pPr>
          </w:p>
          <w:p>
            <w:pPr>
              <w:pStyle w:val="Paragraph"/>
            </w:pPr>
            <w:r>
              <w:t xml:space="preserve">Preparing a risk analysis including all the legal and administrative blockages that MSF could face: </w:t>
            </w:r>
          </w:p>
          <w:p>
            <w:pPr>
              <w:pStyle w:val="ListBullet"/>
              <w:numPr>
                <w:ilvl w:val="0"/>
                <w:numId w:val="1001"/>
              </w:numPr>
            </w:pPr>
          </w:p>
          <w:p>
            <w:pPr>
              <w:pStyle w:val="Paragraph"/>
            </w:pPr>
            <w:r>
              <w:t xml:space="preserve">Training / Project Visits</w:t>
            </w:r>
          </w:p>
          <w:p>
            <w:pPr>
              <w:pStyle w:val="ListBullet"/>
              <w:numPr>
                <w:ilvl w:val="0"/>
                <w:numId w:val="1001"/>
              </w:numPr>
            </w:pPr>
          </w:p>
          <w:p>
            <w:pPr>
              <w:pStyle w:val="Paragraph"/>
            </w:pPr>
            <w:r>
              <w:t xml:space="preserve">Reporting</w:t>
            </w:r>
          </w:p>
          <w:p>
            <w:pPr>
              <w:pStyle w:val="ListBullet"/>
              <w:numPr>
                <w:ilvl w:val="0"/>
                <w:numId w:val="1001"/>
              </w:numPr>
            </w:pPr>
          </w:p>
          <w:p>
            <w:pPr>
              <w:pStyle w:val="Paragraph"/>
            </w:pPr>
            <w:r>
              <w:t xml:space="preserve">Providing regular activity reports to superiors;</w:t>
            </w:r>
          </w:p>
          <w:p>
            <w:pPr>
              <w:pStyle w:val="ListBullet"/>
              <w:numPr>
                <w:ilvl w:val="0"/>
                <w:numId w:val="1001"/>
              </w:numPr>
            </w:pPr>
          </w:p>
          <w:p>
            <w:pPr>
              <w:pStyle w:val="Paragraph"/>
            </w:pPr>
            <w:r>
              <w:t xml:space="preserve">Providing a complete end of mission report.</w:t>
            </w:r>
          </w:p>
          <w:p>
            <w:pPr>
              <w:pStyle w:val="ListBullet"/>
              <w:numPr>
                <w:ilvl w:val="0"/>
                <w:numId w:val="1001"/>
              </w:numPr>
            </w:pPr>
            <w:r>
              <w:t xml:space="preserve">
</w:t>
            </w:r>
          </w:p>
          <w:p>
            <w:pPr>
              <w:pStyle w:val="Paragraph"/>
            </w:pPr>
            <w:r>
              <w:t xml:space="preserve">Management (when applicable)</w:t>
            </w:r>
          </w:p>
          <w:p>
            <w:pPr>
              <w:pStyle w:val="ListBullet"/>
              <w:numPr>
                <w:ilvl w:val="1"/>
                <w:numId w:val="1001"/>
              </w:numPr>
            </w:pPr>
            <w:r>
              <w:t xml:space="preserve">Responsible for the recruitment and supervision of legal officers and legal assistants, when applicable.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Lawyer (law degree), ideally with a specialization in Labor Law; knowledge of tax and/or commercial law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4 years’ experience as an in-house lawyer or as an attorney, including an experience in an NGO.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