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L'ENGAGEMENT COMMUNAUTAIRE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OM07100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 Medical Project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Sachant que l'engagement des communautés et des patients doit être intégré à toutes les activités de MSF dans le cadre d'une approche centrée sur la population (ACP), et en étroite collaboration avec le coordinateur de terrain et le PMR, les objectifs du Responsable d’Engagement Communautaire (CEM) sont les suivants : Établir un dialogue participatif régulier avec les principales parties prenantes (différents segments de la communauté, patients, personnel, ...) afin de les impliquer dans la définition des problèmes et l'identification des solutions potentielles - en tant que processus et ap-proche continus (et pas seulement dans le cadre de l'évaluation/explo initiale). Concevoir et dispenser une promotion de la santé et une éducation à la santé adaptées au contexte, qui favorisent la participation des communautés et des patients dans leur santé, qui respectent la culture locale et qui répondent aux objectifs et aux priorités du projet ainsi qu'aux besoins critiques de la communauté. Assurer l'analyse des changements détectés, des préoccupations ou des demandes des patients/groupes/communautés susceptibles d'entraîner une adaptation de la stratégie ou une amélioration des services, et assurer également la communication agile de cette ana-lyse avec l'équipe de coordination (CT, PMR, Log, HR, finances).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Élaboration et mise en œuvre de la stratégie et du plan d'action relatifs à l'engagement communau-taire et à la promotion de la santé:</w:t>
            </w:r>
          </w:p>
          <w:p>
            <w:pPr>
              <w:pStyle w:val="ListBullet"/>
              <w:numPr>
                <w:ilvl w:val="0"/>
                <w:numId w:val="1001"/>
              </w:numPr>
            </w:pPr>
            <w:r>
              <w:t xml:space="preserve">Co-définition (mise à jour) de la stratégie d'engagement communautaire et de promotion de la santé </w:t>
            </w:r>
          </w:p>
          <w:p>
            <w:pPr>
              <w:pStyle w:val="ListBullet"/>
              <w:numPr>
                <w:ilvl w:val="0"/>
                <w:numId w:val="1001"/>
              </w:numPr>
            </w:pPr>
            <w:r>
              <w:t xml:space="preserve">Prise en compte de toutes les parties prenantes (communautés, patients/soignants, personnel, ministère de la santé, autres acteurs)</w:t>
            </w:r>
          </w:p>
          <w:p>
            <w:pPr>
              <w:pStyle w:val="ListBullet"/>
              <w:numPr>
                <w:ilvl w:val="0"/>
                <w:numId w:val="1001"/>
              </w:numPr>
            </w:pPr>
            <w:r>
              <w:t xml:space="preserve">Assurer la cohérence entre la stratégie du CEHP et les composantes clés du projet (par exemple, le suivi de la crise, la gestion de la sécurité, les activités médicales et paquets (curatifs et préven-tifs), WASH, la protection). </w:t>
            </w:r>
          </w:p>
          <w:p>
            <w:pPr>
              <w:pStyle w:val="ListBullet"/>
              <w:numPr>
                <w:ilvl w:val="0"/>
                <w:numId w:val="1001"/>
              </w:numPr>
            </w:pPr>
            <w:r>
              <w:t xml:space="preserve">L'élaboration et la validation de la stratégie est un processus collaboratif dirigé et facilité par le CEM qui s'assure de la contribution du PC, du PMR, du LTL et du responsable de l'administration et des ressources humaines ; la stratégie CEHP est validée par le CT.</w:t>
            </w:r>
          </w:p>
          <w:p>
            <w:pPr>
              <w:pStyle w:val="Paragraph"/>
            </w:pPr>
            <w:r>
              <w:rPr>
                <w:b/>
              </w:rPr>
              <w:t xml:space="preserve">En collaboration avec le CT et le PMR, établir et entretenir des relations avec les communautés/les principales parties prenantes, les patients et les accompagnants (à l'aide de diverses méthodes) afin de:</w:t>
            </w:r>
          </w:p>
          <w:p>
            <w:pPr>
              <w:pStyle w:val="ListBullet"/>
              <w:numPr>
                <w:ilvl w:val="0"/>
                <w:numId w:val="1002"/>
              </w:numPr>
            </w:pPr>
            <w:r>
              <w:t xml:space="preserve">Impliquer la communauté dans l'identification des priorités, la définition des problèmes et l'identi-fication des solutions potentielles (évaluation participative et/ou résolution des problèmes), en veillant à ce que les perspectives/intérêts des différents segments de la population soient pris en compte, </w:t>
            </w:r>
          </w:p>
          <w:p>
            <w:pPr>
              <w:pStyle w:val="ListBullet"/>
              <w:numPr>
                <w:ilvl w:val="0"/>
                <w:numId w:val="1002"/>
              </w:numPr>
            </w:pPr>
            <w:r>
              <w:t xml:space="preserve">Garantir le point de vue et la participation des communautés/patients/accompagnants au proces-sus de suivi, d'évaluation, d'apprentissage et d'amélioration continue (retour d'information formel et informel).</w:t>
            </w:r>
          </w:p>
          <w:p>
            <w:pPr>
              <w:pStyle w:val="ListBullet"/>
              <w:numPr>
                <w:ilvl w:val="0"/>
                <w:numId w:val="1002"/>
              </w:numPr>
            </w:pPr>
            <w:r>
              <w:t xml:space="preserve">Améliorer l'acceptation, la responsabilité et la confiance</w:t>
            </w:r>
          </w:p>
          <w:p>
            <w:pPr>
              <w:pStyle w:val="ListBullet"/>
              <w:numPr>
                <w:ilvl w:val="0"/>
                <w:numId w:val="1002"/>
              </w:numPr>
            </w:pPr>
            <w:r>
              <w:t xml:space="preserve">Renforcer la collaboration avec les principales parties prenantes</w:t>
            </w:r>
          </w:p>
          <w:p>
            <w:pPr>
              <w:pStyle w:val="ListBullet"/>
              <w:numPr>
                <w:ilvl w:val="0"/>
                <w:numId w:val="1002"/>
              </w:numPr>
            </w:pPr>
            <w:r>
              <w:t xml:space="preserve">Connaissance des individus/groupes/associations (mise en réseau/acteurs et cartographie des services) -&gt; partager avec le CT et l'Assistant CT et mettre à jour les outils pertinents</w:t>
            </w:r>
          </w:p>
          <w:p>
            <w:pPr>
              <w:pStyle w:val="Paragraph"/>
            </w:pPr>
            <w:r>
              <w:rPr>
                <w:b/>
              </w:rPr>
              <w:t xml:space="preserve">Contribuer à l'approfondissement de la compréhension du contexte, de la culture et des besoins des populations:</w:t>
            </w:r>
            <w:r>
              <w:t xml:space="preserve"> </w:t>
            </w:r>
          </w:p>
          <w:p>
            <w:pPr>
              <w:pStyle w:val="ListBullet"/>
              <w:numPr>
                <w:ilvl w:val="0"/>
                <w:numId w:val="1003"/>
              </w:numPr>
            </w:pPr>
            <w:r>
              <w:t xml:space="preserve">Mettre en œuvre un système de collecte de données (quantitatives et qualitatives) et de gestion des connaissances qui s'appuie sur différentes catégories d'informations et qui est reçu par le biais de divers canaux (formels et informels) en utilisant des outils et des normes convenus. </w:t>
            </w:r>
          </w:p>
          <w:p>
            <w:pPr>
              <w:pStyle w:val="ListBullet"/>
              <w:numPr>
                <w:ilvl w:val="0"/>
                <w:numId w:val="1003"/>
              </w:numPr>
            </w:pPr>
            <w:r>
              <w:t xml:space="preserve">Détecter les risques/problèmes de sécurité (pour la population et pour MSF) et les changements par rapport aux besoins critiques. </w:t>
            </w:r>
          </w:p>
          <w:p>
            <w:pPr>
              <w:pStyle w:val="ListBullet"/>
              <w:numPr>
                <w:ilvl w:val="0"/>
                <w:numId w:val="1003"/>
              </w:numPr>
            </w:pPr>
            <w:r>
              <w:t xml:space="preserve">Identifier les facteurs de protection existants, les pratiques positives, les forces/mécanismes d'adaptation et la résilience, </w:t>
            </w:r>
          </w:p>
          <w:p>
            <w:pPr>
              <w:pStyle w:val="ListBullet"/>
              <w:numPr>
                <w:ilvl w:val="0"/>
                <w:numId w:val="1003"/>
              </w:numPr>
            </w:pPr>
            <w:r>
              <w:t xml:space="preserve">Identifier les facteurs de vulnérabilité et la manière dont ils affectent les différents segments de la communauté </w:t>
            </w:r>
          </w:p>
          <w:p>
            <w:pPr>
              <w:pStyle w:val="ListBullet"/>
              <w:numPr>
                <w:ilvl w:val="0"/>
                <w:numId w:val="1003"/>
              </w:numPr>
            </w:pPr>
            <w:r>
              <w:t xml:space="preserve">Identifier et lever les obstacles à l'accès de tous les segments de la communauté aux services de MSF (en termes d'appartenance ethnique, de religion, de sexe, d'âge, de vulnérabilités diverses, etc.)</w:t>
            </w:r>
          </w:p>
          <w:p>
            <w:pPr>
              <w:pStyle w:val="ListBullet"/>
              <w:numPr>
                <w:ilvl w:val="0"/>
                <w:numId w:val="1003"/>
              </w:numPr>
            </w:pPr>
            <w:r>
              <w:t xml:space="preserve">Approfondir la compréhension de la dynamique communautaire, des comportements en matière de santé, des pratiques culturelles, des spécificités démographiques et géographiques, et de l'impact de la crise sur la population. </w:t>
            </w:r>
          </w:p>
          <w:p>
            <w:pPr>
              <w:pStyle w:val="Paragraph"/>
            </w:pPr>
            <w:r>
              <w:rPr>
                <w:b/>
              </w:rPr>
              <w:t xml:space="preserve">Promotion de la santé, éducation à la santé et promotion des services:</w:t>
            </w:r>
          </w:p>
          <w:p>
            <w:pPr>
              <w:pStyle w:val="ListBullet"/>
              <w:numPr>
                <w:ilvl w:val="0"/>
                <w:numId w:val="1004"/>
              </w:numPr>
            </w:pPr>
            <w:r>
              <w:t xml:space="preserve">Assurer l'adaptation culturelle et la pertinence locale de la réponse de MSF (sur la base de la compréhension des croyances et pratiques locales en matière de santé, de bien-être, de nais-sance, de mort et de décès, de violence, d'identification des forces et des mécanismes d'adap-tation, d'un meilleur suivi de l'évolution des besoins et des priorités perçus). </w:t>
            </w:r>
          </w:p>
          <w:p>
            <w:pPr>
              <w:pStyle w:val="ListBullet"/>
              <w:numPr>
                <w:ilvl w:val="0"/>
                <w:numId w:val="1004"/>
              </w:numPr>
            </w:pPr>
            <w:r>
              <w:t xml:space="preserve">En collaboration avec les équipes médicales, élaborer du matériel de santé publique adapté à la culture en fonction des besoins du projet et des priorités opérationnelles.</w:t>
            </w:r>
          </w:p>
          <w:p>
            <w:pPr>
              <w:pStyle w:val="ListBullet"/>
              <w:numPr>
                <w:ilvl w:val="0"/>
                <w:numId w:val="1004"/>
              </w:numPr>
            </w:pPr>
            <w:r>
              <w:t xml:space="preserve">Concevoir des méthodologies participatives pour diffuser des messages clés adaptés au public (tenir compte de l'âge, du genre, du niveau d'alphabétisation...). Prendre en considération les mé-thodes utilisées localement pour transmettre les connaissances (oralement, par le biais d'his-toires, de théâtre, de chansons...) en trouvant un équilibre entre la créativité, l'innovation et les préférences locales.</w:t>
            </w:r>
          </w:p>
          <w:p>
            <w:pPr>
              <w:pStyle w:val="ListBullet"/>
              <w:numPr>
                <w:ilvl w:val="0"/>
                <w:numId w:val="1004"/>
              </w:numPr>
            </w:pPr>
            <w:r>
              <w:t xml:space="preserve">Assurer le pré-test des activités, des méthodologies et des outils afin de garantir leur adéquation, leur pertinence et leur adaptation culturelle.</w:t>
            </w:r>
          </w:p>
          <w:p>
            <w:pPr>
              <w:pStyle w:val="Paragraph"/>
            </w:pPr>
            <w:r>
              <w:rPr>
                <w:b/>
              </w:rPr>
              <w:t xml:space="preserve">Résolution proactive des problèmes:</w:t>
            </w:r>
            <w:r>
              <w:t xml:space="preserve"> </w:t>
            </w:r>
          </w:p>
          <w:p>
            <w:pPr>
              <w:pStyle w:val="ListBullet"/>
              <w:numPr>
                <w:ilvl w:val="0"/>
                <w:numId w:val="1005"/>
              </w:numPr>
            </w:pPr>
            <w:r>
              <w:t xml:space="preserve">Contribuer de manière proactive à la détection des problèmes, des préoccupations et des la-cunes qui nécessitent un engagement actif auprès des patients, d'un segment donné de la com-munauté ou d'un autre acteur clé (soit pour résoudre le problème, soit pour identifier une solution potentielle qui débouche ensuite sur une action, une adaptation ou une amélioration de la réponse de MSF).</w:t>
            </w:r>
          </w:p>
          <w:p>
            <w:pPr>
              <w:pStyle w:val="ListBullet"/>
              <w:numPr>
                <w:ilvl w:val="0"/>
                <w:numId w:val="1005"/>
              </w:numPr>
            </w:pPr>
            <w:r>
              <w:t xml:space="preserve">Veiller à ce que les données collectées soient analysées en temps utile, qu'elles soient trans-mises aux personnes de l'équipe qui ont besoin de les connaître, qu'elles contribuent aux des rapports du projet et qu'elles soient utilisées pour éclairer les décisions stratégiques clés.</w:t>
            </w:r>
          </w:p>
          <w:p>
            <w:pPr>
              <w:pStyle w:val="Paragraph"/>
            </w:pPr>
            <w:r>
              <w:rPr>
                <w:b/>
              </w:rPr>
              <w:t xml:space="preserve">Collaboration transversale et contribution stratégique:</w:t>
            </w:r>
          </w:p>
          <w:p>
            <w:pPr>
              <w:pStyle w:val="ListBullet"/>
              <w:numPr>
                <w:ilvl w:val="0"/>
                <w:numId w:val="1006"/>
              </w:numPr>
            </w:pPr>
            <w:r>
              <w:t xml:space="preserve">Contribuer activement à l'échange stratégique permanent avec l'équipe de coordination du projet. </w:t>
            </w:r>
          </w:p>
          <w:p>
            <w:pPr>
              <w:pStyle w:val="ListBullet"/>
              <w:numPr>
                <w:ilvl w:val="0"/>
                <w:numId w:val="1006"/>
              </w:numPr>
            </w:pPr>
            <w:r>
              <w:t xml:space="preserve">Collaboration et coordination régulières avec le PMR et l'équipe médicale pour (1) assurer une prestation optimale des activités de promotion et d'éducation à la santé tout au long du conti-nuum de soins (2) assurer une articulation optimale de l'engagement communautaire dans les ac-tivités de DMC et dans toutes les autres actions médicales menées au niveau communautaire (par exemple, campagnes de vaccination, surveillance).</w:t>
            </w:r>
          </w:p>
          <w:p>
            <w:pPr>
              <w:pStyle w:val="ListBullet"/>
              <w:numPr>
                <w:ilvl w:val="0"/>
                <w:numId w:val="1006"/>
              </w:numPr>
            </w:pPr>
            <w:r>
              <w:t xml:space="preserve">Collaboration avec les équipes logistiques pour assurer un engagement optimal avec les com-munautés autour des activités WASH, NFI, de distribution et/ou d'autres activités logistiques dans la communauté et dans les installations de MSF.</w:t>
            </w:r>
          </w:p>
          <w:p>
            <w:pPr>
              <w:pStyle w:val="ListBullet"/>
              <w:numPr>
                <w:ilvl w:val="0"/>
                <w:numId w:val="1006"/>
              </w:numPr>
            </w:pPr>
            <w:r>
              <w:t xml:space="preserve">Soutenir le coordinateur de projet pour stimuler la collaboration transversale</w:t>
            </w:r>
          </w:p>
          <w:p>
            <w:pPr>
              <w:pStyle w:val="ListBullet"/>
              <w:numPr>
                <w:ilvl w:val="0"/>
                <w:numId w:val="1006"/>
              </w:numPr>
            </w:pPr>
            <w:r>
              <w:t xml:space="preserve">Proposer des sujets de discussion (et contribuer à l'encadrement de la conversation) lors des ré-unions de coordination des projets. </w:t>
            </w:r>
          </w:p>
          <w:p>
            <w:pPr>
              <w:pStyle w:val="ListBullet"/>
              <w:numPr>
                <w:ilvl w:val="0"/>
                <w:numId w:val="1006"/>
              </w:numPr>
            </w:pPr>
            <w:r>
              <w:t xml:space="preserve">Contribution à la conception stratégique, au suivi et à l'évaluation, à l'apprentissage et à l'amélio-ration continue.</w:t>
            </w:r>
          </w:p>
          <w:p>
            <w:pPr>
              <w:pStyle w:val="Paragraph"/>
            </w:pPr>
            <w:r>
              <w:rPr>
                <w:b/>
              </w:rPr>
              <w:t xml:space="preserve">Supervision de l'équipe, formation et rôle dans la coordination des équipes/activités communau-taires:</w:t>
            </w:r>
          </w:p>
          <w:p>
            <w:pPr>
              <w:pStyle w:val="ListBullet"/>
              <w:numPr>
                <w:ilvl w:val="0"/>
                <w:numId w:val="1007"/>
              </w:numPr>
            </w:pPr>
            <w:r>
              <w:t xml:space="preserve">Superviser l'équipe CE/HP et ses activités, dans et en dehors des établissements de santé, en signalant les difficultés et les progrès et en adaptant le format et le contenu si nécessaire, en étroite collaboration avec les équipes médicales et logistiques (en fonction du contenu). Planifier et superviser les processus associés aux ressources humaines (recrutement, formation, évalua-tion, développement et communication interne) du personnel CEHP du projet. Ceci sera fait en étroite coordination avec le département RH, le responsable administratif, le PMR et le coordina-teur du projet et selon la vision, les valeurs et les procédures de MSF.</w:t>
            </w:r>
          </w:p>
          <w:p>
            <w:pPr>
              <w:pStyle w:val="ListBullet"/>
              <w:numPr>
                <w:ilvl w:val="0"/>
                <w:numId w:val="1007"/>
              </w:numPr>
            </w:pPr>
            <w:r>
              <w:t xml:space="preserve">Formation régulière des équipes de MSF (et le cas échéant du personnel du ministère de la santé) sur l'engagement des communautés/patients afin d'intégrer l'approche centrée sur la population de manière transversale dans toutes les positions (la curiosité, l'empathie, l'écoute, la redevabili-té, etc.) </w:t>
            </w:r>
          </w:p>
          <w:p>
            <w:pPr>
              <w:pStyle w:val="ListBullet"/>
              <w:numPr>
                <w:ilvl w:val="0"/>
                <w:numId w:val="1007"/>
              </w:numPr>
            </w:pPr>
            <w:r>
              <w:t xml:space="preserve">Contribuer de manière proactive à la coordination de toutes les équipes communautaires afin de maximiser les synergies, d'éviter les duplications, d'améliorer le devoir de diligence (duty of care) et de simplifier la gestion (même si les membres de l'équipe dépendent hiérarchiquement de dif-férents responsables/coordinateurs d'activités).</w:t>
            </w:r>
          </w:p>
          <w:p>
            <w:pPr>
              <w:pStyle w:val="Paragraph"/>
            </w:pPr>
            <w:r>
              <w:rPr>
                <w:b/>
              </w:rPr>
              <w:t xml:space="preserve">Sur demande:</w:t>
            </w:r>
          </w:p>
          <w:p>
            <w:pPr>
              <w:pStyle w:val="ListBullet"/>
              <w:numPr>
                <w:ilvl w:val="0"/>
                <w:numId w:val="1008"/>
              </w:numPr>
            </w:pPr>
            <w:r>
              <w:t xml:space="preserve">Participer à des évaluations sur le terrain ou à des missions exploratoires (se focalisant sur la  compréhension des conséquences de la crise sur la population, leurs priorités et leurs préfé-rences, ainsi que les points forts et les mécanismes d'adaptation).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Soit (1) un diplôme universitaire en sciences sociales, en communication sociale, en promotion de la santé ou dans un domaine connexe, soit (2) une expérience profes-sionnelle pertinente suffisante pour acquérir l'expertise nécessaire à l'exercice de la fonction (notamment une expérience en matière d'engagement communautaire et/ou de gestion de projet).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essentielle dans des emplois connexes (engagement communautaire, coordination de projets, recherche sociale). 
Expérience avérée dans l'élaboration de stratégies et de plans de travail. 
Expérience de l'analyse de données quantitatives et qualitatives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 langue de travail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Gestion et développement du personnel L2</w:t>
            </w:r>
          </w:p>
          <w:p>
            <w:pPr>
              <w:pStyle w:val="Paragraph"/>
            </w:pPr>
            <w:r>
              <w:t xml:space="preserve">• Engagement envers les principes MSF L2</w:t>
            </w:r>
          </w:p>
          <w:p>
            <w:pPr>
              <w:pStyle w:val="Paragraph"/>
            </w:pPr>
            <w:r>
              <w:t xml:space="preserve">• Flexibilité comportementale L3</w:t>
            </w:r>
          </w:p>
          <w:p>
            <w:pPr>
              <w:pStyle w:val="Paragraph"/>
            </w:pPr>
            <w:r>
              <w:t xml:space="preserve">• Orientation vers les résultats et la qualité L3</w:t>
            </w:r>
          </w:p>
          <w:p>
            <w:pPr>
              <w:pStyle w:val="Paragraph"/>
            </w:pPr>
            <w:r>
              <w:t xml:space="preserve">• Travail d'équipe et coopération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