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LOS MEDIOS SOCIALES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 DE COMUNICACIÓN TERRENO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Communicación Terreno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Asesor de Comunicación de la Célula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Contribuir a implementar la estrategia de comunicación operativa en la misión, de acuerdo con los estándares de MSF. Procurar incrementar la visibilidad, aceptación e influencia de MSF con foco en las redes sociales.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Producir, editar y seleccionar críticamente contenidos para su publicación en las  cuentas de las redes sociales de MSF, brindando apoyo en la traducción cuando fuese necesario. Sugerir innovaciones en la creación de contenidos e incrementar el caudal de seguidores en las redes sociales de MSF (cobertura de Facebook Live, sesiones de Twitter en directo con personal directivo en el terreno,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MSF a construir una red de seguidores en sus redes sociales, a través de: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Promover externamente los perfiles de MSF en las redes sociales • Animar al personal a aplicar  directrices en el uso de  las redes sociales • Prestar apoyo en las sesiones de capacitación sobre redes sociales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y analizar  temas y tendencias en línea que sean relevantes para las operaciones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las menciones de MSF en las redes sociales e informar a los supervisores de toda mención problemática sobre MSF en entornos virtuales.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 los resultados analíticos de fondo y evaluar la participación de seguidores según su  situación geográfica, demográfica, etc. Contribuir a desarrollar la estrategia de MSF en las redes sociales, proporcionando asesoramiento contextual relacionado con el uso y las tendencias de las redes sociales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trabajo diario acorde con las comunicaciones y metas operativas generales de MSF y responder los comentarios y participaciones, cuando corresponda, con la orientación de los supervisores.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recopilación de datos y presentación de informes sobre comunicación cuando sea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universitario,  terciario o diplomatura en una disciplina afín.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considerará a candidatos que, sin poseer formación universitaria, tengan experiencia adicional significativa (de 5 años o más) en gestión, supervisión y producción de contenidos para las  redes sociales.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profesional mínima de dos años en gestión y construcción de comunidades en las redes sociales.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producción básica de contenidos y mensajes para las redes sociales.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monitorización  y presentación de informes sobre  redes sociales.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Dominio de los idiomas de la misión.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inglés, francés o español.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Excelente dominio de las lenguas locales del país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Excelentes aptitudes para la  redacción.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riguroso de los medios de comunicación tradicionales y un buen conocimiento de las redes sociales.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Buen trabajo en red y manejo de las relaciones con los medios de comunicación.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Es imprescindible tener conocimientos de Word, Excel e Internet.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